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A975C" w14:textId="77777777" w:rsidR="00720D48" w:rsidRPr="00720D48" w:rsidRDefault="00720D48" w:rsidP="00720D48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sz w:val="44"/>
          <w:szCs w:val="44"/>
        </w:rPr>
      </w:pPr>
      <w:r w:rsidRPr="00720D48">
        <w:rPr>
          <w:rFonts w:ascii="Calibri" w:hAnsi="Calibri" w:cs="Calibri"/>
          <w:b/>
          <w:bCs/>
          <w:sz w:val="44"/>
          <w:szCs w:val="44"/>
        </w:rPr>
        <w:t>Σύνταξη</w:t>
      </w:r>
    </w:p>
    <w:p w14:paraId="08ED59D9" w14:textId="77777777" w:rsidR="00720D48" w:rsidRDefault="00720D48" w:rsidP="00720D48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 </w:t>
      </w:r>
    </w:p>
    <w:p w14:paraId="149CA0DE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57D41F9E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Η σύνδεση προτάσεων ή όρων της πρότασης, Παρατακτική και Υποτακτική σύνδεση (δε διδάσκεται στη Β' Γυμνασίου)</w:t>
      </w:r>
    </w:p>
    <w:p w14:paraId="7FCDC85C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148C7B11" w14:textId="05BA13A1" w:rsidR="00720D48" w:rsidRDefault="00720D48" w:rsidP="00720D48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1. Το υποκείμενο του απαρεμφάτου</w:t>
      </w:r>
      <w:r>
        <w:rPr>
          <w:rFonts w:ascii="Calibri" w:hAnsi="Calibri" w:cs="Calibri"/>
          <w:sz w:val="32"/>
          <w:szCs w:val="32"/>
        </w:rPr>
        <w:t> </w:t>
      </w:r>
    </w:p>
    <w:p w14:paraId="6C5A0893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5507E198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Το υποκείμενο του απαρεμφάτου μπορεί να είναι: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b/>
          <w:bCs/>
          <w:color w:val="000000"/>
          <w:sz w:val="32"/>
          <w:szCs w:val="32"/>
        </w:rPr>
        <w:t>α.</w:t>
      </w:r>
      <w:r>
        <w:rPr>
          <w:rFonts w:ascii="Calibri" w:hAnsi="Calibri" w:cs="Calibri"/>
          <w:color w:val="000000"/>
          <w:sz w:val="32"/>
          <w:szCs w:val="32"/>
        </w:rPr>
        <w:t> Το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με το υποκείμενο του ρήματος</w:t>
      </w:r>
      <w:r>
        <w:rPr>
          <w:rFonts w:ascii="Calibri" w:hAnsi="Calibri" w:cs="Calibri"/>
          <w:color w:val="000000"/>
          <w:sz w:val="32"/>
          <w:szCs w:val="32"/>
        </w:rPr>
        <w:t> από το οποίο εξαρτάται το απαρέμφατο. Σε αυτή την περίπτωση έχουμε το φαινόμενο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ταυτοπροσωπίας</w:t>
      </w:r>
      <w:r>
        <w:rPr>
          <w:rFonts w:ascii="Calibri" w:hAnsi="Calibri" w:cs="Calibri"/>
          <w:color w:val="000000"/>
          <w:sz w:val="32"/>
          <w:szCs w:val="32"/>
        </w:rPr>
        <w:t>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Οὗτοι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ἐθέλουσιν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ὑπὲρ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πατρίδος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θνῄσκειν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(αυτοί θέλουν αυτοί να πεθάνουν).</w:t>
      </w:r>
    </w:p>
    <w:p w14:paraId="2A66572A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β.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Διαφορετικό από το υποκείμενο του ρήματος</w:t>
      </w:r>
      <w:r>
        <w:rPr>
          <w:rFonts w:ascii="Calibri" w:hAnsi="Calibri" w:cs="Calibri"/>
          <w:color w:val="000000"/>
          <w:sz w:val="32"/>
          <w:szCs w:val="32"/>
        </w:rPr>
        <w:t> από το οποίο εξαρτάται το απαρέμφατο και πάντοτε σε αιτιατική. Σε αυτή την περίπτωση έχουμε το φαινόμενο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ετεροπροσωπίας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332AC305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Οἴομαι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πάντας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ὑμᾶς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γιγνώσκειν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ῥηθέντα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εγώ</w:t>
      </w:r>
      <w:r>
        <w:rPr>
          <w:rFonts w:ascii="Calibri" w:hAnsi="Calibri" w:cs="Calibri"/>
          <w:color w:val="000000"/>
          <w:sz w:val="32"/>
          <w:szCs w:val="32"/>
        </w:rPr>
        <w:t> νομίζω ότι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εσείς</w:t>
      </w:r>
      <w:r>
        <w:rPr>
          <w:rFonts w:ascii="Calibri" w:hAnsi="Calibri" w:cs="Calibri"/>
          <w:color w:val="000000"/>
          <w:sz w:val="32"/>
          <w:szCs w:val="32"/>
        </w:rPr>
        <w:t> γνωρίζετε).</w:t>
      </w:r>
    </w:p>
    <w:p w14:paraId="0A886BB7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2E98F73D" w14:textId="4C5A7382" w:rsidR="00720D48" w:rsidRDefault="00720D48" w:rsidP="00720D48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2. Το υποκείμενο της μετοχής</w:t>
      </w:r>
      <w:r>
        <w:rPr>
          <w:rFonts w:ascii="Calibri" w:hAnsi="Calibri" w:cs="Calibri"/>
          <w:sz w:val="32"/>
          <w:szCs w:val="32"/>
        </w:rPr>
        <w:t> </w:t>
      </w:r>
    </w:p>
    <w:p w14:paraId="3D51BBFF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03A60181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Το υποκείμενο μιας μετοχής βρίσκεται στο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γένος</w:t>
      </w:r>
      <w:r>
        <w:rPr>
          <w:rFonts w:ascii="Calibri" w:hAnsi="Calibri" w:cs="Calibri"/>
          <w:color w:val="000000"/>
          <w:sz w:val="32"/>
          <w:szCs w:val="32"/>
        </w:rPr>
        <w:t>, στον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αριθμό</w:t>
      </w:r>
      <w:r>
        <w:rPr>
          <w:rFonts w:ascii="Calibri" w:hAnsi="Calibri" w:cs="Calibri"/>
          <w:color w:val="000000"/>
          <w:sz w:val="32"/>
          <w:szCs w:val="32"/>
        </w:rPr>
        <w:t> και στην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ίδια πτώση</w:t>
      </w:r>
      <w:r>
        <w:rPr>
          <w:rFonts w:ascii="Calibri" w:hAnsi="Calibri" w:cs="Calibri"/>
          <w:color w:val="000000"/>
          <w:sz w:val="32"/>
          <w:szCs w:val="32"/>
        </w:rPr>
        <w:t> με τη μετοχή.</w:t>
      </w:r>
    </w:p>
    <w:p w14:paraId="12945981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lastRenderedPageBreak/>
        <w:t>Από την άποψη του υποκειμένου της, μια επιρρηματική μετοχή μπορεί να είναι συνημμένη ή απόλυτη.</w:t>
      </w:r>
    </w:p>
    <w:p w14:paraId="603A60B6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α.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Συνημμένη</w:t>
      </w:r>
      <w:r>
        <w:rPr>
          <w:rFonts w:ascii="Calibri" w:hAnsi="Calibri" w:cs="Calibri"/>
          <w:color w:val="000000"/>
          <w:sz w:val="32"/>
          <w:szCs w:val="32"/>
        </w:rPr>
        <w:t> χαρακτηρίζεται μια επιρρηματική μετοχή, όταν το υποκείμενό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έχει και άλλη συντακτική θέση μέσα στην πρόταση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3A9CFE75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b/>
          <w:bCs/>
          <w:color w:val="0000FF"/>
          <w:sz w:val="32"/>
          <w:szCs w:val="32"/>
        </w:rPr>
        <w:t>Ἀκούσαντες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 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ταῦτα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στρατιῶται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παρεσκευάσαντο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πρὸς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μάχην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33DAAE43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675C1F6C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(η φράση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στρατιῶται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, που είναι υποκείμενο της μετοχής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ἀκούσαντες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, είναι και υποκείμενο του ρήματος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παρεσκευάσαντο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).</w:t>
      </w:r>
    </w:p>
    <w:p w14:paraId="542E5F54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b/>
          <w:bCs/>
          <w:color w:val="0000FF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β.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Απόλυτη</w:t>
      </w:r>
      <w:r>
        <w:rPr>
          <w:rFonts w:ascii="Calibri" w:hAnsi="Calibri" w:cs="Calibri"/>
          <w:color w:val="000000"/>
          <w:sz w:val="32"/>
          <w:szCs w:val="32"/>
        </w:rPr>
        <w:t> χαρακτηρίζεται μια επιρρηματική μετοχή, όταν το υποκείμενό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δεν έχει άλλη συντακτική θέση μέσα στην πρόταση</w:t>
      </w:r>
      <w:r>
        <w:rPr>
          <w:rFonts w:ascii="Calibri" w:hAnsi="Calibri" w:cs="Calibri"/>
          <w:color w:val="000000"/>
          <w:sz w:val="32"/>
          <w:szCs w:val="32"/>
        </w:rPr>
        <w:t>. Σε μια τέτοια περίπτωση, αν παραλείψουμε τη μετοχή, το υποκείμενό της περιττεύει στην πρόταση: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Ἐστράτευσαν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ἐπ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'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αὐτοὺς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οὐδεμιᾶς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διαφορᾶς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πρότερον </w:t>
      </w:r>
      <w:proofErr w:type="spellStart"/>
      <w:r>
        <w:rPr>
          <w:rFonts w:ascii="Calibri" w:hAnsi="Calibri" w:cs="Calibri"/>
          <w:b/>
          <w:bCs/>
          <w:color w:val="0000FF"/>
          <w:sz w:val="32"/>
          <w:szCs w:val="32"/>
        </w:rPr>
        <w:t>ὑπαρχούσης</w:t>
      </w:r>
      <w:proofErr w:type="spellEnd"/>
    </w:p>
    <w:p w14:paraId="120C0557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b/>
          <w:bCs/>
          <w:color w:val="0000FF"/>
          <w:sz w:val="32"/>
          <w:szCs w:val="32"/>
        </w:rPr>
      </w:pPr>
    </w:p>
    <w:p w14:paraId="72359CB1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 (το υποκείμενο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διαφορᾶς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της μετοχής δεν έχει καμία άλλη συντακτική θέση μέσα στην πρόταση).</w:t>
      </w:r>
    </w:p>
    <w:p w14:paraId="0DC91416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7614451D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02AC616D" w14:textId="4BE12C9F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18799E84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2A2237B0" w14:textId="77777777" w:rsidR="00720D48" w:rsidRDefault="00720D48" w:rsidP="00720D48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7DBF3167" w14:textId="77777777" w:rsidR="00720D48" w:rsidRDefault="00720D48" w:rsidP="00720D48">
      <w:pPr>
        <w:pStyle w:val="ca23"/>
        <w:spacing w:before="0" w:beforeAutospacing="0" w:after="0" w:afterAutospacing="0" w:line="416" w:lineRule="atLeast"/>
        <w:ind w:left="225" w:right="75"/>
        <w:jc w:val="both"/>
        <w:rPr>
          <w:rStyle w:val="w3-tag"/>
        </w:rPr>
      </w:pPr>
    </w:p>
    <w:p w14:paraId="2AD744CA" w14:textId="76DD7D98" w:rsidR="00720D48" w:rsidRDefault="00720D48" w:rsidP="00720D48">
      <w:pPr>
        <w:pStyle w:val="ca23"/>
        <w:spacing w:before="0" w:beforeAutospacing="0" w:after="0" w:afterAutospacing="0" w:line="416" w:lineRule="atLeast"/>
        <w:ind w:left="225" w:right="75"/>
        <w:jc w:val="both"/>
        <w:rPr>
          <w:rStyle w:val="w3-tag"/>
          <w:rFonts w:ascii="Calibri" w:hAnsi="Calibri" w:cs="Calibri"/>
          <w:b/>
          <w:bCs/>
          <w:color w:val="000000"/>
          <w:sz w:val="32"/>
          <w:szCs w:val="32"/>
        </w:rPr>
      </w:pPr>
      <w:r w:rsidRPr="00720D48">
        <w:rPr>
          <w:rStyle w:val="w3-tag"/>
          <w:rFonts w:ascii="Calibri" w:hAnsi="Calibri" w:cs="Calibri"/>
          <w:b/>
          <w:bCs/>
          <w:color w:val="000000"/>
          <w:sz w:val="32"/>
          <w:szCs w:val="32"/>
        </w:rPr>
        <w:lastRenderedPageBreak/>
        <w:t>Παρατηρήσεις</w:t>
      </w:r>
    </w:p>
    <w:p w14:paraId="2A2838D1" w14:textId="77777777" w:rsidR="00720D48" w:rsidRPr="00720D48" w:rsidRDefault="00720D48" w:rsidP="00720D48">
      <w:pPr>
        <w:pStyle w:val="ca23"/>
        <w:spacing w:before="0" w:beforeAutospacing="0" w:after="0" w:afterAutospacing="0" w:line="416" w:lineRule="atLeast"/>
        <w:ind w:left="225" w:right="75"/>
        <w:jc w:val="both"/>
        <w:rPr>
          <w:b/>
          <w:bCs/>
        </w:rPr>
      </w:pPr>
    </w:p>
    <w:p w14:paraId="1F76C357" w14:textId="77777777" w:rsidR="00720D48" w:rsidRDefault="00720D48" w:rsidP="00720D48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color w:val="000000"/>
          <w:sz w:val="32"/>
          <w:szCs w:val="32"/>
        </w:rPr>
        <w:t>Μόνο η επιρρηματική μετοχή μπορεί να είναι απόλυτη.</w:t>
      </w:r>
      <w:r>
        <w:rPr>
          <w:rFonts w:ascii="Calibri" w:hAnsi="Calibri" w:cs="Calibri"/>
          <w:color w:val="000000"/>
          <w:sz w:val="32"/>
          <w:szCs w:val="32"/>
        </w:rPr>
        <w:br/>
        <w:t xml:space="preserve">Η απόλυτη μετοχή βρίσκεται σε πτώση γενική, εάν ανήκει σε προσωπικό ρήμα, η αιτιατική, εάν ανήκει σε απρόσωπο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ρήμα.</w:t>
      </w:r>
      <w:r>
        <w:rPr>
          <w:rFonts w:ascii="Calibri" w:hAnsi="Calibri" w:cs="Calibri"/>
          <w:color w:val="FFFFFF"/>
          <w:sz w:val="44"/>
          <w:szCs w:val="44"/>
        </w:rPr>
        <w:t>ηρωθούν</w:t>
      </w:r>
      <w:proofErr w:type="spellEnd"/>
      <w:r>
        <w:rPr>
          <w:rFonts w:ascii="Calibri" w:hAnsi="Calibri" w:cs="Calibri"/>
          <w:color w:val="FFFFFF"/>
          <w:sz w:val="44"/>
          <w:szCs w:val="44"/>
        </w:rPr>
        <w:t xml:space="preserve"> οι χρονικοί χαρακτήρες του αόριστου </w:t>
      </w:r>
    </w:p>
    <w:p w14:paraId="2A309ECC" w14:textId="77777777" w:rsidR="00720D48" w:rsidRDefault="00720D48" w:rsidP="00720D48">
      <w:pPr>
        <w:pStyle w:val="2"/>
        <w:spacing w:before="0" w:beforeAutospacing="0" w:after="0" w:afterAutospacing="0"/>
        <w:jc w:val="center"/>
        <w:rPr>
          <w:rFonts w:ascii="Calibri" w:hAnsi="Calibri" w:cs="Calibri"/>
          <w:sz w:val="44"/>
          <w:szCs w:val="44"/>
        </w:rPr>
      </w:pPr>
    </w:p>
    <w:p w14:paraId="2648C8CF" w14:textId="77777777" w:rsidR="00720D48" w:rsidRDefault="00720D48" w:rsidP="00720D48">
      <w:pPr>
        <w:pStyle w:val="2"/>
        <w:spacing w:before="0" w:beforeAutospacing="0" w:after="0" w:afterAutospacing="0"/>
        <w:jc w:val="center"/>
        <w:rPr>
          <w:rFonts w:ascii="Calibri" w:hAnsi="Calibri" w:cs="Calibri"/>
          <w:sz w:val="44"/>
          <w:szCs w:val="44"/>
        </w:rPr>
      </w:pPr>
    </w:p>
    <w:p w14:paraId="6FAE0897" w14:textId="77777777" w:rsidR="008C63F9" w:rsidRDefault="008C63F9"/>
    <w:sectPr w:rsidR="008C63F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0DDD5" w14:textId="77777777" w:rsidR="00722BB4" w:rsidRDefault="00722BB4" w:rsidP="00720D48">
      <w:pPr>
        <w:spacing w:after="0" w:line="240" w:lineRule="auto"/>
      </w:pPr>
      <w:r>
        <w:separator/>
      </w:r>
    </w:p>
  </w:endnote>
  <w:endnote w:type="continuationSeparator" w:id="0">
    <w:p w14:paraId="49C86A13" w14:textId="77777777" w:rsidR="00722BB4" w:rsidRDefault="00722BB4" w:rsidP="0072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4635350"/>
      <w:docPartObj>
        <w:docPartGallery w:val="Page Numbers (Bottom of Page)"/>
        <w:docPartUnique/>
      </w:docPartObj>
    </w:sdtPr>
    <w:sdtContent>
      <w:p w14:paraId="56F743CC" w14:textId="3FD23AA9" w:rsidR="00720D48" w:rsidRDefault="00720D4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79E84C" w14:textId="77777777" w:rsidR="00720D48" w:rsidRDefault="00720D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C7339" w14:textId="77777777" w:rsidR="00722BB4" w:rsidRDefault="00722BB4" w:rsidP="00720D48">
      <w:pPr>
        <w:spacing w:after="0" w:line="240" w:lineRule="auto"/>
      </w:pPr>
      <w:r>
        <w:separator/>
      </w:r>
    </w:p>
  </w:footnote>
  <w:footnote w:type="continuationSeparator" w:id="0">
    <w:p w14:paraId="13C21052" w14:textId="77777777" w:rsidR="00722BB4" w:rsidRDefault="00722BB4" w:rsidP="00720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F9"/>
    <w:rsid w:val="00720D48"/>
    <w:rsid w:val="00722BB4"/>
    <w:rsid w:val="008C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2D00"/>
  <w15:chartTrackingRefBased/>
  <w15:docId w15:val="{CA1CF508-AE57-4F31-B2FB-DEAE4406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semiHidden/>
    <w:unhideWhenUsed/>
    <w:qFormat/>
    <w:rsid w:val="00720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720D4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ca23">
    <w:name w:val="ca23"/>
    <w:basedOn w:val="a"/>
    <w:rsid w:val="0072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3-tag">
    <w:name w:val="w3-tag"/>
    <w:basedOn w:val="a0"/>
    <w:rsid w:val="00720D48"/>
  </w:style>
  <w:style w:type="paragraph" w:styleId="a3">
    <w:name w:val="header"/>
    <w:basedOn w:val="a"/>
    <w:link w:val="Char"/>
    <w:uiPriority w:val="99"/>
    <w:unhideWhenUsed/>
    <w:rsid w:val="00720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0D48"/>
  </w:style>
  <w:style w:type="paragraph" w:styleId="a4">
    <w:name w:val="footer"/>
    <w:basedOn w:val="a"/>
    <w:link w:val="Char0"/>
    <w:uiPriority w:val="99"/>
    <w:unhideWhenUsed/>
    <w:rsid w:val="00720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2020-12-05T16:51:00Z</dcterms:created>
  <dcterms:modified xsi:type="dcterms:W3CDTF">2020-12-05T16:52:00Z</dcterms:modified>
</cp:coreProperties>
</file>