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2DF22" w14:textId="170844B6" w:rsidR="001106B1" w:rsidRDefault="001106B1" w:rsidP="001106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6B1">
        <w:rPr>
          <w:rFonts w:ascii="Times New Roman" w:hAnsi="Times New Roman" w:cs="Times New Roman"/>
          <w:b/>
          <w:bCs/>
          <w:sz w:val="28"/>
          <w:szCs w:val="28"/>
        </w:rPr>
        <w:t>Η Ελένη και η καταστροφή της Τροίας</w:t>
      </w:r>
    </w:p>
    <w:p w14:paraId="48125161" w14:textId="77777777" w:rsidR="001106B1" w:rsidRPr="001106B1" w:rsidRDefault="001106B1" w:rsidP="001106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E3892" w14:textId="77777777" w:rsidR="001106B1" w:rsidRDefault="001106B1" w:rsidP="001106B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Εἰ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ἐν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Ἰλίῳ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Ἑλένη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ἦν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ἀπέδοντο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ἂν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αὐτὴν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τοῖς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Ἕλλησιν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οἱ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Τρῶες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ἑκόντος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γε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ἢ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ἄκοντος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Ἀλεξάνδρου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8133FF4" w14:textId="77777777" w:rsidR="001106B1" w:rsidRDefault="001106B1" w:rsidP="001106B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Οὐ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γὰρ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δὴ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οὕτω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γε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  <w:bdr w:val="single" w:sz="12" w:space="0" w:color="auto"/>
        </w:rPr>
        <w:t>φρενοβλαβὴς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ἦν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ὁ Πρίαμος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οὐδὲ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οἱ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ἄλλοι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Τρῶες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ὥστε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τοῖς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σφετέροις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σώμασι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καὶ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τοῖς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τέκνοις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καὶ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τῇ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πόλει </w:t>
      </w:r>
      <w:proofErr w:type="spellStart"/>
      <w:r w:rsidRPr="00110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κινδυνεύειν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ἐβούλοντο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ὅπως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Ἀλέξανδρος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Ἑλένῃ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συνοικῇ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1C6FE54" w14:textId="77777777" w:rsidR="001106B1" w:rsidRDefault="001106B1" w:rsidP="001106B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Εἰ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δέ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τοι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καὶ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ἐν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τοῖς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πρώτοις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χρόνοις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ταῦτα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ἐγίγνωσκον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ἐπεὶ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  <w:bdr w:val="single" w:sz="12" w:space="0" w:color="auto"/>
        </w:rPr>
        <w:t>πολλοὶ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μὲν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τῶν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ἄλλων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Τρώων, μάλιστα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δὲ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οἱ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αὑτοῦ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υἱεῖς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ὁπότε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συμμίσγοιεν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τοῖς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Ἕλλησιν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ἀπώλλυντο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, Πρίαμος,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εἰ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καὶ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αὐτὸς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Ἑλένῃ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συνῴκει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ἀπέδωκεν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ἂν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αὐτὴν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Μενελάῳ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ἵνα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αὐτὸς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καὶ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οἱ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ὑπήκοοι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αὐτοῦ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ἀπαλλαγεῖεν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τῶν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0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παρόντων</w:t>
      </w:r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  <w:bdr w:val="single" w:sz="12" w:space="0" w:color="auto"/>
        </w:rPr>
        <w:t>κακῶν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B1870FA" w14:textId="45895D24" w:rsidR="001106B1" w:rsidRDefault="001106B1" w:rsidP="001106B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Ἀλλ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οὐ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γὰρ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εἶχον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Ἑλένην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ἀποδοῦναι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οὐδὲ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λέγουσιν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αὐτοῖς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τὴν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ἀλήθειαν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ἐπίστευον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οἱ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Ἕλληνες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ὡς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μὲν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ἐγὼ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γνώμην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ἀποφαίνομαι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τοῦ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δαιμονίου </w:t>
      </w:r>
      <w:proofErr w:type="spellStart"/>
      <w:r w:rsidRPr="00110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παρασκευάζοντος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ὅπως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πανωλεθρίᾳ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ἀπολόμενοι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  <w:bdr w:val="single" w:sz="12" w:space="0" w:color="auto"/>
        </w:rPr>
        <w:t>καταφανὲς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τοῦτο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τοῖς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ἀνθρώποις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ποιήσωσι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ὡς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τῶν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06B1">
        <w:rPr>
          <w:rFonts w:ascii="Times New Roman" w:hAnsi="Times New Roman" w:cs="Times New Roman"/>
          <w:i/>
          <w:iCs/>
          <w:sz w:val="28"/>
          <w:szCs w:val="28"/>
          <w:bdr w:val="single" w:sz="12" w:space="0" w:color="auto"/>
        </w:rPr>
        <w:t>μεγάλων</w:t>
      </w:r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ἀδικημάτων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  <w:bdr w:val="single" w:sz="12" w:space="0" w:color="auto"/>
        </w:rPr>
        <w:t>μεγάλαι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εἰσὶ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καὶ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αἱ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τιμωρίαι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παρὰ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τῶν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06B1">
        <w:rPr>
          <w:rFonts w:ascii="Times New Roman" w:hAnsi="Times New Roman" w:cs="Times New Roman"/>
          <w:i/>
          <w:iCs/>
          <w:sz w:val="28"/>
          <w:szCs w:val="28"/>
        </w:rPr>
        <w:t>θεῶν</w:t>
      </w:r>
      <w:proofErr w:type="spellEnd"/>
      <w:r w:rsidRPr="001106B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C44765B" w14:textId="77777777" w:rsidR="001106B1" w:rsidRDefault="001106B1" w:rsidP="001106B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9BE93BE" w14:textId="05D8C560" w:rsidR="001106B1" w:rsidRPr="003A3105" w:rsidRDefault="001106B1" w:rsidP="001106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105">
        <w:rPr>
          <w:rFonts w:ascii="Times New Roman" w:hAnsi="Times New Roman" w:cs="Times New Roman"/>
          <w:b/>
          <w:bCs/>
          <w:sz w:val="28"/>
          <w:szCs w:val="28"/>
        </w:rPr>
        <w:t>Εργασίες:</w:t>
      </w:r>
    </w:p>
    <w:p w14:paraId="16B903C6" w14:textId="4341784F" w:rsidR="001106B1" w:rsidRDefault="001106B1" w:rsidP="001106B1">
      <w:pPr>
        <w:jc w:val="both"/>
        <w:rPr>
          <w:rFonts w:ascii="Times New Roman" w:hAnsi="Times New Roman" w:cs="Times New Roman"/>
          <w:sz w:val="28"/>
          <w:szCs w:val="28"/>
        </w:rPr>
      </w:pPr>
      <w:r w:rsidRPr="003A3105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Να γίνει χρονική αντικατάσταση των ρηματικών τύπων στη φωνή που βρίσκονται.</w:t>
      </w:r>
    </w:p>
    <w:p w14:paraId="4B5ACF3B" w14:textId="6DEE466E" w:rsidR="001106B1" w:rsidRDefault="001106B1" w:rsidP="001106B1">
      <w:pPr>
        <w:jc w:val="both"/>
        <w:rPr>
          <w:rFonts w:ascii="Times New Roman" w:hAnsi="Times New Roman" w:cs="Times New Roman"/>
          <w:sz w:val="28"/>
          <w:szCs w:val="28"/>
        </w:rPr>
      </w:pPr>
      <w:r w:rsidRPr="003A3105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Να γραφούν τα παραθετικά των επιθέτων στον </w:t>
      </w:r>
      <w:r w:rsidR="003A3105">
        <w:rPr>
          <w:rFonts w:ascii="Times New Roman" w:hAnsi="Times New Roman" w:cs="Times New Roman"/>
          <w:sz w:val="28"/>
          <w:szCs w:val="28"/>
        </w:rPr>
        <w:t>τύπο στον οποίο βρίσκονται.</w:t>
      </w:r>
    </w:p>
    <w:p w14:paraId="46FA35C4" w14:textId="1A6F67A5" w:rsidR="003A3105" w:rsidRPr="001106B1" w:rsidRDefault="003A3105" w:rsidP="001106B1">
      <w:pPr>
        <w:jc w:val="both"/>
        <w:rPr>
          <w:rFonts w:ascii="Times New Roman" w:hAnsi="Times New Roman" w:cs="Times New Roman"/>
          <w:sz w:val="28"/>
          <w:szCs w:val="28"/>
        </w:rPr>
      </w:pPr>
      <w:r w:rsidRPr="003A3105">
        <w:rPr>
          <w:rFonts w:ascii="Times New Roman" w:hAnsi="Times New Roman" w:cs="Times New Roman"/>
          <w:b/>
          <w:bCs/>
          <w:sz w:val="28"/>
          <w:szCs w:val="28"/>
        </w:rPr>
        <w:t>ΣΗΜ:</w:t>
      </w:r>
      <w:r>
        <w:rPr>
          <w:rFonts w:ascii="Times New Roman" w:hAnsi="Times New Roman" w:cs="Times New Roman"/>
          <w:sz w:val="28"/>
          <w:szCs w:val="28"/>
        </w:rPr>
        <w:t xml:space="preserve"> Για τους αρχικούς χρόνους, ανατρέξτε στο Λεξικό της Αρχαίας Ελληνικής (βιβλίο αναφοράς) ή στο «</w:t>
      </w:r>
      <w:proofErr w:type="spellStart"/>
      <w:r>
        <w:rPr>
          <w:rFonts w:ascii="Times New Roman" w:hAnsi="Times New Roman" w:cs="Times New Roman"/>
          <w:sz w:val="28"/>
          <w:szCs w:val="28"/>
        </w:rPr>
        <w:t>Φιλιλογείο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sectPr w:rsidR="003A3105" w:rsidRPr="001106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B1"/>
    <w:rsid w:val="001106B1"/>
    <w:rsid w:val="003A3105"/>
    <w:rsid w:val="003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FC8C"/>
  <w15:chartTrackingRefBased/>
  <w15:docId w15:val="{504D6F59-409C-4C20-9D3F-0533742C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10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1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0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110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10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10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0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10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10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10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10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10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1106B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106B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106B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106B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106B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106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10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1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10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10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1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106B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106B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106B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10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106B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10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1</cp:revision>
  <dcterms:created xsi:type="dcterms:W3CDTF">2024-12-29T14:39:00Z</dcterms:created>
  <dcterms:modified xsi:type="dcterms:W3CDTF">2024-12-29T14:54:00Z</dcterms:modified>
</cp:coreProperties>
</file>