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2A2" w:rsidRDefault="001032A2" w:rsidP="001032A2">
      <w:pPr>
        <w:jc w:val="center"/>
        <w:rPr>
          <w:rFonts w:ascii="Comic Sans MS" w:hAnsi="Comic Sans MS"/>
          <w:sz w:val="24"/>
          <w:szCs w:val="24"/>
        </w:rPr>
      </w:pPr>
      <w:bookmarkStart w:id="0" w:name="_GoBack"/>
      <w:bookmarkEnd w:id="0"/>
      <w:r>
        <w:rPr>
          <w:rFonts w:ascii="Comic Sans MS" w:hAnsi="Comic Sans MS"/>
          <w:b/>
          <w:sz w:val="24"/>
          <w:szCs w:val="24"/>
        </w:rPr>
        <w:t>ΕΠΙΧΕΙΡΗΜΑΤΟΛΟΓΙΑ</w:t>
      </w:r>
    </w:p>
    <w:p w:rsidR="001032A2" w:rsidRDefault="001032A2" w:rsidP="001032A2">
      <w:pPr>
        <w:rPr>
          <w:rFonts w:ascii="Comic Sans MS" w:hAnsi="Comic Sans MS"/>
          <w:b/>
          <w:sz w:val="24"/>
          <w:szCs w:val="24"/>
        </w:rPr>
      </w:pPr>
      <w:r>
        <w:rPr>
          <w:rFonts w:ascii="Comic Sans MS" w:hAnsi="Comic Sans MS"/>
          <w:b/>
          <w:sz w:val="24"/>
          <w:szCs w:val="24"/>
        </w:rPr>
        <w:t xml:space="preserve">ΣΤΟΙΧΕΙΑ ΤΟΥ ΕΠΙΧΕΙΡΗΜΑΤΟΣ ΚΑΙ ΜΕΛΕΤΗ ΤΩΝ ΕΠΙΧΕΙΡΗΜΑΤΩΝ </w:t>
      </w:r>
    </w:p>
    <w:p w:rsidR="001032A2" w:rsidRDefault="001032A2" w:rsidP="001032A2">
      <w:pPr>
        <w:rPr>
          <w:rFonts w:ascii="Comic Sans MS" w:hAnsi="Comic Sans MS"/>
          <w:sz w:val="24"/>
          <w:szCs w:val="24"/>
        </w:rPr>
      </w:pPr>
      <w:r>
        <w:rPr>
          <w:rFonts w:ascii="Comic Sans MS" w:hAnsi="Comic Sans MS"/>
          <w:sz w:val="24"/>
          <w:szCs w:val="24"/>
        </w:rPr>
        <w:t xml:space="preserve">Σε μια συζήτηση ή σ’ ένα κείμενο, για να υποστηρίξουμε τις θέσεις ή για να αντικρούσουμε τις απόψεις των άλλων, χρησιμοποιούμε τα </w:t>
      </w:r>
      <w:r>
        <w:rPr>
          <w:rFonts w:ascii="Comic Sans MS" w:hAnsi="Comic Sans MS"/>
          <w:b/>
          <w:sz w:val="24"/>
          <w:szCs w:val="24"/>
        </w:rPr>
        <w:t>επιχειρήματα</w:t>
      </w:r>
      <w:r>
        <w:rPr>
          <w:rFonts w:ascii="Comic Sans MS" w:hAnsi="Comic Sans MS"/>
          <w:sz w:val="24"/>
          <w:szCs w:val="24"/>
        </w:rPr>
        <w:t xml:space="preserve">.                                                                                                   Η χρήση των επιχειρημάτων μας βοηθάει:                                                                                                                  α. να κατανοήσουμε ποιες θέσεις είναι ορθότερες ή πιο σημαντικές από άλλες,                                               β. να πείσουμε τους άλλους για την ορθότητα των θέσεών μας (ο στόχος μας δηλαδή είναι να μεταβάλουμε τη γνώμη και τη στάση του συνομιλητή μας απέναντι στο θέμα που συζητάμε). </w:t>
      </w:r>
    </w:p>
    <w:p w:rsidR="001032A2" w:rsidRDefault="001032A2" w:rsidP="001032A2">
      <w:pPr>
        <w:rPr>
          <w:rFonts w:ascii="Comic Sans MS" w:hAnsi="Comic Sans MS"/>
          <w:sz w:val="24"/>
          <w:szCs w:val="24"/>
        </w:rPr>
      </w:pPr>
      <w:r>
        <w:rPr>
          <w:rFonts w:ascii="Comic Sans MS" w:hAnsi="Comic Sans MS"/>
          <w:sz w:val="24"/>
          <w:szCs w:val="24"/>
        </w:rPr>
        <w:t xml:space="preserve">Δύο είδη επιχειρημάτων είναι:                                                                                                                            α. </w:t>
      </w:r>
      <w:r>
        <w:rPr>
          <w:rFonts w:ascii="Comic Sans MS" w:hAnsi="Comic Sans MS"/>
          <w:b/>
          <w:sz w:val="24"/>
          <w:szCs w:val="24"/>
        </w:rPr>
        <w:t>τα επιχειρήματα δια μέσου παραδειγμάτων</w:t>
      </w:r>
      <w:r>
        <w:rPr>
          <w:rFonts w:ascii="Comic Sans MS" w:hAnsi="Comic Sans MS"/>
          <w:sz w:val="24"/>
          <w:szCs w:val="24"/>
        </w:rPr>
        <w:t xml:space="preserve"> (για τη στήριξη της θέσης μας χρησιμοποιούνται παραδείγματα, πχ. από την ιστορία, την επιστήμη κλπ.)                                                                                           β. </w:t>
      </w:r>
      <w:r>
        <w:rPr>
          <w:rFonts w:ascii="Comic Sans MS" w:hAnsi="Comic Sans MS"/>
          <w:b/>
          <w:sz w:val="24"/>
          <w:szCs w:val="24"/>
        </w:rPr>
        <w:t>τα επιχειρήματα με αιτίες</w:t>
      </w:r>
      <w:r>
        <w:rPr>
          <w:rFonts w:ascii="Comic Sans MS" w:hAnsi="Comic Sans MS"/>
          <w:sz w:val="24"/>
          <w:szCs w:val="24"/>
        </w:rPr>
        <w:t xml:space="preserve">.                                                                                                                                            Τα είδη των επιχειρημάτων χρησιμοποιούνται τόσο στις καθημερινές συζητήσεις όσο και σε επίσημα κείμενα, κυρίως στο χώρο των επιστημών.    </w:t>
      </w:r>
    </w:p>
    <w:p w:rsidR="001032A2" w:rsidRDefault="001032A2" w:rsidP="001032A2">
      <w:pPr>
        <w:rPr>
          <w:rFonts w:ascii="Comic Sans MS" w:hAnsi="Comic Sans MS"/>
          <w:sz w:val="24"/>
          <w:szCs w:val="24"/>
        </w:rPr>
      </w:pPr>
      <w:r>
        <w:rPr>
          <w:rFonts w:ascii="Comic Sans MS" w:hAnsi="Comic Sans MS"/>
          <w:b/>
          <w:sz w:val="24"/>
          <w:szCs w:val="24"/>
        </w:rPr>
        <w:t xml:space="preserve">ΔΟΜΗ ΤΩΝ ΕΠΙΧΕΙΡΗΜΑΤΟΛΟΓΙΚΩΝ ΚΕΙΜΕΝΩΝ </w:t>
      </w:r>
    </w:p>
    <w:tbl>
      <w:tblPr>
        <w:tblStyle w:val="TableGrid"/>
        <w:tblW w:w="0" w:type="auto"/>
        <w:tblLook w:val="04A0" w:firstRow="1" w:lastRow="0" w:firstColumn="1" w:lastColumn="0" w:noHBand="0" w:noVBand="1"/>
      </w:tblPr>
      <w:tblGrid>
        <w:gridCol w:w="10682"/>
      </w:tblGrid>
      <w:tr w:rsidR="00456858" w:rsidTr="00456858">
        <w:tc>
          <w:tcPr>
            <w:tcW w:w="10682" w:type="dxa"/>
          </w:tcPr>
          <w:p w:rsidR="00456858" w:rsidRPr="00456858" w:rsidRDefault="00456858" w:rsidP="00456858">
            <w:pPr>
              <w:pStyle w:val="ListParagraph"/>
              <w:numPr>
                <w:ilvl w:val="0"/>
                <w:numId w:val="1"/>
              </w:numPr>
              <w:spacing w:line="360" w:lineRule="auto"/>
              <w:rPr>
                <w:rFonts w:ascii="Comic Sans MS" w:hAnsi="Comic Sans MS"/>
                <w:sz w:val="24"/>
                <w:szCs w:val="24"/>
              </w:rPr>
            </w:pPr>
            <w:r w:rsidRPr="00542B55">
              <w:rPr>
                <w:rFonts w:ascii="Comic Sans MS" w:hAnsi="Comic Sans MS"/>
                <w:b/>
                <w:sz w:val="24"/>
                <w:szCs w:val="24"/>
              </w:rPr>
              <w:t>ΕΙΣΑΓΩΓΗ</w:t>
            </w:r>
            <w:r>
              <w:rPr>
                <w:rFonts w:ascii="Comic Sans MS" w:hAnsi="Comic Sans MS"/>
                <w:sz w:val="24"/>
                <w:szCs w:val="24"/>
              </w:rPr>
              <w:t xml:space="preserve">: η </w:t>
            </w:r>
            <w:r w:rsidRPr="00542B55">
              <w:rPr>
                <w:rFonts w:ascii="Comic Sans MS" w:hAnsi="Comic Sans MS"/>
                <w:b/>
                <w:sz w:val="24"/>
                <w:szCs w:val="24"/>
              </w:rPr>
              <w:t>θέση</w:t>
            </w:r>
            <w:r>
              <w:rPr>
                <w:rFonts w:ascii="Comic Sans MS" w:hAnsi="Comic Sans MS"/>
                <w:sz w:val="24"/>
                <w:szCs w:val="24"/>
              </w:rPr>
              <w:t xml:space="preserve"> (η άποψη) μας για ένα θέμα</w:t>
            </w:r>
          </w:p>
        </w:tc>
      </w:tr>
    </w:tbl>
    <w:p w:rsidR="00456858" w:rsidRDefault="005E07E0" w:rsidP="001032A2">
      <w:pPr>
        <w:rPr>
          <w:rFonts w:ascii="Comic Sans MS" w:hAnsi="Comic Sans MS"/>
          <w:sz w:val="24"/>
          <w:szCs w:val="24"/>
        </w:rPr>
      </w:pPr>
      <w:r>
        <w:rPr>
          <w:rFonts w:ascii="Comic Sans MS" w:hAnsi="Comic Sans MS"/>
          <w:noProof/>
          <w:sz w:val="24"/>
          <w:szCs w:val="24"/>
        </w:rPr>
        <mc:AlternateContent>
          <mc:Choice Requires="wps">
            <w:drawing>
              <wp:anchor distT="0" distB="0" distL="114300" distR="114300" simplePos="0" relativeHeight="251660288" behindDoc="0" locked="0" layoutInCell="1" allowOverlap="1">
                <wp:simplePos x="0" y="0"/>
                <wp:positionH relativeFrom="column">
                  <wp:posOffset>3286125</wp:posOffset>
                </wp:positionH>
                <wp:positionV relativeFrom="paragraph">
                  <wp:posOffset>39370</wp:posOffset>
                </wp:positionV>
                <wp:extent cx="0" cy="285750"/>
                <wp:effectExtent l="57150" t="11430" r="57150" b="1714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258.75pt;margin-top:3.1pt;width:0;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">
                <v:stroke endarrow="block"/>
              </v:shape>
            </w:pict>
          </mc:Fallback>
        </mc:AlternateContent>
      </w:r>
      <w:r w:rsidR="001032A2">
        <w:rPr>
          <w:rFonts w:ascii="Comic Sans MS" w:hAnsi="Comic Sans MS"/>
          <w:sz w:val="24"/>
          <w:szCs w:val="24"/>
        </w:rPr>
        <w:t xml:space="preserve">                                  </w:t>
      </w:r>
    </w:p>
    <w:tbl>
      <w:tblPr>
        <w:tblStyle w:val="TableGrid"/>
        <w:tblW w:w="0" w:type="auto"/>
        <w:tblLook w:val="04A0" w:firstRow="1" w:lastRow="0" w:firstColumn="1" w:lastColumn="0" w:noHBand="0" w:noVBand="1"/>
      </w:tblPr>
      <w:tblGrid>
        <w:gridCol w:w="10682"/>
      </w:tblGrid>
      <w:tr w:rsidR="00456858" w:rsidTr="00456858">
        <w:tc>
          <w:tcPr>
            <w:tcW w:w="10682" w:type="dxa"/>
          </w:tcPr>
          <w:p w:rsidR="00456858" w:rsidRPr="00456858" w:rsidRDefault="00456858" w:rsidP="00456858">
            <w:pPr>
              <w:pStyle w:val="ListParagraph"/>
              <w:numPr>
                <w:ilvl w:val="0"/>
                <w:numId w:val="1"/>
              </w:numPr>
              <w:rPr>
                <w:rFonts w:ascii="Comic Sans MS" w:hAnsi="Comic Sans MS"/>
                <w:sz w:val="24"/>
                <w:szCs w:val="24"/>
              </w:rPr>
            </w:pPr>
            <w:r w:rsidRPr="00542B55">
              <w:rPr>
                <w:rFonts w:ascii="Comic Sans MS" w:hAnsi="Comic Sans MS"/>
                <w:b/>
                <w:sz w:val="24"/>
                <w:szCs w:val="24"/>
              </w:rPr>
              <w:t>ΕΠΙΧΕΙΡΗΜΑΤΑ</w:t>
            </w:r>
            <w:r>
              <w:rPr>
                <w:rFonts w:ascii="Comic Sans MS" w:hAnsi="Comic Sans MS"/>
                <w:sz w:val="24"/>
                <w:szCs w:val="24"/>
              </w:rPr>
              <w:t xml:space="preserve">: ή τεκμήρια (αποδείξεις), για να υποστηρίξουμε τη θέση μας </w:t>
            </w:r>
          </w:p>
        </w:tc>
      </w:tr>
    </w:tbl>
    <w:p w:rsidR="001032A2" w:rsidRDefault="005E07E0" w:rsidP="001032A2">
      <w:pPr>
        <w:rPr>
          <w:rFonts w:ascii="Comic Sans MS" w:hAnsi="Comic Sans MS"/>
          <w:sz w:val="24"/>
          <w:szCs w:val="24"/>
        </w:rPr>
      </w:pPr>
      <w:r>
        <w:rPr>
          <w:rFonts w:ascii="Comic Sans MS" w:hAnsi="Comic Sans MS"/>
          <w:noProof/>
          <w:sz w:val="24"/>
          <w:szCs w:val="24"/>
        </w:rPr>
        <mc:AlternateContent>
          <mc:Choice Requires="wps">
            <w:drawing>
              <wp:anchor distT="0" distB="0" distL="114300" distR="114300" simplePos="0" relativeHeight="251659264" behindDoc="0" locked="0" layoutInCell="1" allowOverlap="1">
                <wp:simplePos x="0" y="0"/>
                <wp:positionH relativeFrom="column">
                  <wp:posOffset>3286125</wp:posOffset>
                </wp:positionH>
                <wp:positionV relativeFrom="paragraph">
                  <wp:posOffset>33655</wp:posOffset>
                </wp:positionV>
                <wp:extent cx="0" cy="295275"/>
                <wp:effectExtent l="57150" t="11430" r="57150" b="1714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58.75pt;margin-top:2.65pt;width:0;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">
                <v:stroke endarrow="block"/>
              </v:shape>
            </w:pict>
          </mc:Fallback>
        </mc:AlternateContent>
      </w:r>
      <w:r w:rsidR="001032A2">
        <w:rPr>
          <w:rFonts w:ascii="Comic Sans MS" w:hAnsi="Comic Sans MS"/>
          <w:sz w:val="24"/>
          <w:szCs w:val="24"/>
        </w:rPr>
        <w:t xml:space="preserve">                                                                  </w:t>
      </w:r>
    </w:p>
    <w:tbl>
      <w:tblPr>
        <w:tblStyle w:val="TableGrid"/>
        <w:tblW w:w="0" w:type="auto"/>
        <w:tblLook w:val="04A0" w:firstRow="1" w:lastRow="0" w:firstColumn="1" w:lastColumn="0" w:noHBand="0" w:noVBand="1"/>
      </w:tblPr>
      <w:tblGrid>
        <w:gridCol w:w="10682"/>
      </w:tblGrid>
      <w:tr w:rsidR="00456858" w:rsidTr="00456858">
        <w:tc>
          <w:tcPr>
            <w:tcW w:w="10682" w:type="dxa"/>
          </w:tcPr>
          <w:p w:rsidR="00456858" w:rsidRPr="00456858" w:rsidRDefault="00456858" w:rsidP="00456858">
            <w:pPr>
              <w:pStyle w:val="ListParagraph"/>
              <w:numPr>
                <w:ilvl w:val="0"/>
                <w:numId w:val="1"/>
              </w:numPr>
              <w:rPr>
                <w:rFonts w:ascii="Comic Sans MS" w:hAnsi="Comic Sans MS"/>
                <w:sz w:val="24"/>
                <w:szCs w:val="24"/>
              </w:rPr>
            </w:pPr>
            <w:r w:rsidRPr="00542B55">
              <w:rPr>
                <w:rFonts w:ascii="Comic Sans MS" w:hAnsi="Comic Sans MS"/>
                <w:b/>
                <w:sz w:val="24"/>
                <w:szCs w:val="24"/>
              </w:rPr>
              <w:t>ΑΝΑΣΚΕΥΗ</w:t>
            </w:r>
            <w:r>
              <w:rPr>
                <w:rFonts w:ascii="Comic Sans MS" w:hAnsi="Comic Sans MS"/>
                <w:sz w:val="24"/>
                <w:szCs w:val="24"/>
              </w:rPr>
              <w:t xml:space="preserve">: αντικρούομε αντίθετες θέσεις – επιχειρήματα </w:t>
            </w:r>
          </w:p>
        </w:tc>
      </w:tr>
    </w:tbl>
    <w:p w:rsidR="00456858" w:rsidRDefault="005E07E0" w:rsidP="001032A2">
      <w:pPr>
        <w:rPr>
          <w:rFonts w:ascii="Comic Sans MS" w:hAnsi="Comic Sans MS"/>
          <w:sz w:val="24"/>
          <w:szCs w:val="24"/>
        </w:rPr>
      </w:pPr>
      <w:r>
        <w:rPr>
          <w:rFonts w:ascii="Comic Sans MS" w:hAnsi="Comic Sans MS"/>
          <w:noProof/>
          <w:sz w:val="24"/>
          <w:szCs w:val="24"/>
        </w:rPr>
        <mc:AlternateContent>
          <mc:Choice Requires="wps">
            <w:drawing>
              <wp:anchor distT="0" distB="0" distL="114300" distR="114300" simplePos="0" relativeHeight="251661312" behindDoc="0" locked="0" layoutInCell="1" allowOverlap="1">
                <wp:simplePos x="0" y="0"/>
                <wp:positionH relativeFrom="column">
                  <wp:posOffset>3286125</wp:posOffset>
                </wp:positionH>
                <wp:positionV relativeFrom="paragraph">
                  <wp:posOffset>37465</wp:posOffset>
                </wp:positionV>
                <wp:extent cx="0" cy="295275"/>
                <wp:effectExtent l="57150" t="11430" r="57150" b="1714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258.75pt;margin-top:2.95pt;width:0;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">
                <v:stroke endarrow="block"/>
              </v:shape>
            </w:pict>
          </mc:Fallback>
        </mc:AlternateContent>
      </w:r>
    </w:p>
    <w:tbl>
      <w:tblPr>
        <w:tblStyle w:val="TableGrid"/>
        <w:tblW w:w="0" w:type="auto"/>
        <w:tblLook w:val="04A0" w:firstRow="1" w:lastRow="0" w:firstColumn="1" w:lastColumn="0" w:noHBand="0" w:noVBand="1"/>
      </w:tblPr>
      <w:tblGrid>
        <w:gridCol w:w="10682"/>
      </w:tblGrid>
      <w:tr w:rsidR="00456858" w:rsidTr="00456858">
        <w:tc>
          <w:tcPr>
            <w:tcW w:w="10682" w:type="dxa"/>
          </w:tcPr>
          <w:p w:rsidR="00456858" w:rsidRPr="00456858" w:rsidRDefault="00456858" w:rsidP="00456858">
            <w:pPr>
              <w:pStyle w:val="ListParagraph"/>
              <w:numPr>
                <w:ilvl w:val="0"/>
                <w:numId w:val="1"/>
              </w:numPr>
              <w:rPr>
                <w:rFonts w:ascii="Comic Sans MS" w:hAnsi="Comic Sans MS"/>
                <w:sz w:val="24"/>
                <w:szCs w:val="24"/>
              </w:rPr>
            </w:pPr>
            <w:r w:rsidRPr="00542B55">
              <w:rPr>
                <w:rFonts w:ascii="Comic Sans MS" w:hAnsi="Comic Sans MS"/>
                <w:b/>
                <w:sz w:val="24"/>
                <w:szCs w:val="24"/>
              </w:rPr>
              <w:t>ΚΑΤΑΛΗΞΗ</w:t>
            </w:r>
            <w:r>
              <w:rPr>
                <w:rFonts w:ascii="Comic Sans MS" w:hAnsi="Comic Sans MS"/>
                <w:sz w:val="24"/>
                <w:szCs w:val="24"/>
              </w:rPr>
              <w:t>: εκφράζουμε την τελική μας θέση ή το τελικό μας συμπέρασμα ή τις προϋποθέσεις που πρέπει να υπάρχουν, για να ισχύσει η θέση μας</w:t>
            </w:r>
          </w:p>
        </w:tc>
      </w:tr>
    </w:tbl>
    <w:p w:rsidR="00456858" w:rsidRDefault="00456858" w:rsidP="001032A2">
      <w:pPr>
        <w:rPr>
          <w:rFonts w:ascii="Comic Sans MS" w:hAnsi="Comic Sans MS"/>
          <w:sz w:val="24"/>
          <w:szCs w:val="24"/>
        </w:rPr>
      </w:pPr>
    </w:p>
    <w:p w:rsidR="001032A2" w:rsidRDefault="001032A2" w:rsidP="001032A2">
      <w:pPr>
        <w:rPr>
          <w:rFonts w:ascii="Comic Sans MS" w:hAnsi="Comic Sans MS"/>
          <w:b/>
          <w:sz w:val="24"/>
          <w:szCs w:val="24"/>
        </w:rPr>
      </w:pPr>
      <w:r>
        <w:rPr>
          <w:rFonts w:ascii="Comic Sans MS" w:hAnsi="Comic Sans MS"/>
          <w:b/>
          <w:sz w:val="24"/>
          <w:szCs w:val="24"/>
        </w:rPr>
        <w:t xml:space="preserve">ΓΛΩΣΣΑ ΤΩΝ ΕΠΙΧΕΙΡΗΜΑΤΟΛΟΓΙΚΩΝ ΚΕΙΜΕΝΩΝ </w:t>
      </w:r>
    </w:p>
    <w:p w:rsidR="001032A2" w:rsidRDefault="001032A2" w:rsidP="001032A2">
      <w:pPr>
        <w:rPr>
          <w:rFonts w:ascii="Comic Sans MS" w:hAnsi="Comic Sans MS"/>
          <w:sz w:val="24"/>
          <w:szCs w:val="24"/>
        </w:rPr>
      </w:pPr>
      <w:r>
        <w:rPr>
          <w:rFonts w:ascii="Comic Sans MS" w:hAnsi="Comic Sans MS"/>
          <w:sz w:val="24"/>
          <w:szCs w:val="24"/>
        </w:rPr>
        <w:t xml:space="preserve">Όσον αφορά τη γλώσσα των επιχειρηματολογικών κειμένων παρατηρούμε:                                                        α. τη χρήση ρητορικών ερωτήσεων                                                                                                                                                              β. την επανάληψη στοιχείων δομής ή περιεχομένου                                                                                               γ. τη χρήση συνδετικών λέξεων ή φράσεων που:                                                                                                                    - δηλώνουν ανάλογη σημασία: επίσης, συνεπώς, φυσικά, με αποτέλεσμα κ.α.                                                                             – εκφράζουν πιθανότητα: μπορεί, ενδέχεται, είναι δυνατόν, πιστεύω, υποθέτω κ.α.                                                            – που εκφράζουν δεοντολογία (κάτι που πρέπει να γίνει) : πρέπει, χρειάζεται, κρίνεται απαραίτητο, επιτρέπεται κ.α. </w:t>
      </w:r>
    </w:p>
    <w:sectPr w:rsidR="001032A2" w:rsidSect="00CC5F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4220EC"/>
    <w:multiLevelType w:val="hybridMultilevel"/>
    <w:tmpl w:val="74043A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2A2"/>
    <w:rsid w:val="001032A2"/>
    <w:rsid w:val="00313D1E"/>
    <w:rsid w:val="00456858"/>
    <w:rsid w:val="00542B55"/>
    <w:rsid w:val="005E07E0"/>
    <w:rsid w:val="007C5AAA"/>
    <w:rsid w:val="00CC5FFD"/>
    <w:rsid w:val="00F34C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32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568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32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56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18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2513</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dcterms:created xsi:type="dcterms:W3CDTF">2021-11-06T17:34:00Z</dcterms:created>
  <dcterms:modified xsi:type="dcterms:W3CDTF">2021-11-06T17:34:00Z</dcterms:modified>
</cp:coreProperties>
</file>