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88"/>
        <w:tblW w:w="8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6"/>
        <w:gridCol w:w="1898"/>
        <w:gridCol w:w="1582"/>
        <w:gridCol w:w="3108"/>
      </w:tblGrid>
      <w:tr w:rsidR="0093364B" w:rsidRPr="00923A23" w:rsidTr="00B2610C">
        <w:tc>
          <w:tcPr>
            <w:tcW w:w="0" w:type="auto"/>
            <w:shd w:val="clear" w:color="auto" w:fill="FFFFFF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ΕΙΔΟΣ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ΕΙΣΑΓΟΝΤΑΙ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ΧΡΗΣH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ΠΑΡΑΔΕΙΓΜΑΤΑ</w:t>
            </w:r>
          </w:p>
        </w:tc>
      </w:tr>
      <w:tr w:rsidR="0093364B" w:rsidRPr="00923A23" w:rsidTr="00B2610C">
        <w:tc>
          <w:tcPr>
            <w:tcW w:w="0" w:type="auto"/>
            <w:shd w:val="clear" w:color="auto" w:fill="F1F1F1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ΕΙΔΙΚΕΣ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 ειδικούς συνδέσμους: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ὅτι, ὡς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αντικείμενο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υποκείμενο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επεξήγηση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Οὗτοι ἔλεγον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ὅτι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Κῦρος τέθνηκεν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Οὐ γὰρ ἠγγέλθη αὐτοῖς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ὅτι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τεθνηκότες εἶεν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Ταῦτα λέγω,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ὡς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τὸ παράπαν οὐ νομίζεις θεούς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364B" w:rsidRPr="00923A23" w:rsidTr="00B2610C">
        <w:tc>
          <w:tcPr>
            <w:tcW w:w="0" w:type="auto"/>
            <w:shd w:val="clear" w:color="auto" w:fill="FFFFFF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ΕΝΔΟΙΑΣΤΙΚΕΣ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 ενδοιαστικό μόριο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μή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ή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μὴ οὐ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ή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ὅπως μη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αντικείμενο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υποκείμενο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επεξήγηση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Δέδιμεν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μὴ οὐ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βέβαιοι ἦτε.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Ἐφαίνετο δεινὸν εἶναι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μὴ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οἱ στρατιῶται δύσνοι ὦσιν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Ἔστι μάλιστα τοῦτο δέος,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μὴ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τρέψηται καὶ παρασπάσηταί τι των πραγμάτων.</w:t>
            </w:r>
          </w:p>
        </w:tc>
      </w:tr>
      <w:tr w:rsidR="0093364B" w:rsidRPr="00923A23" w:rsidTr="00B2610C">
        <w:tc>
          <w:tcPr>
            <w:tcW w:w="0" w:type="auto"/>
            <w:shd w:val="clear" w:color="auto" w:fill="F1F1F1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ΠΛΑΓΙΕΣ ΕΡΩΤΗΜΑΤΙΚΕΣ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το: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Όταν είναι διμερείς με τα: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 - ἤ, εἴτε - εἴτε πότερον - ἤ, πότερα - ἤ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Με τις ερωτηματικές αντωνυμίες: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τίς, πότερος, πόσος, ποῖος,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πηλίκος, ποδαπός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Με τις αναφορικές αντωνυμίες: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ὅς, ὅστις, ὁπότερος, ὅσος,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ὁπόσος, οἷος, ὁποῖος, ἡλίκος,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 ὁπηλίκος, ὁποδαπός.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Με τα ερωτηματικά επιρ.: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 xml:space="preserve">ποῦ, ποῖ, πόθεν, 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πῇ, πῶς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Με τα αναφορικά επιρ.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οὗ, ὅπου, οἷ, ὅποι, ὁπόθεν,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ᾗ, ὅπῃ, ὡς, ὅπως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1. αντικείμενο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υποκείμενο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επεξήγηση</w:t>
            </w:r>
          </w:p>
        </w:tc>
        <w:tc>
          <w:tcPr>
            <w:tcW w:w="0" w:type="auto"/>
            <w:shd w:val="clear" w:color="auto" w:fill="F1F1F1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Ἐρήσομαι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ὅστις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ἐστὶν ὁ διδάσκαλος.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Οὔκ ἐστιν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ὅπως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ἡσυχίαν σχήσει Φίλιππος.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Τοῦτ’ αὐτό απόκριναι,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ἀληθῆ λέγομεν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ἤ οὐκ ἀληθῆ.</w:t>
            </w:r>
          </w:p>
        </w:tc>
      </w:tr>
      <w:tr w:rsidR="0093364B" w:rsidRPr="00923A23" w:rsidTr="00B2610C">
        <w:tc>
          <w:tcPr>
            <w:tcW w:w="0" w:type="auto"/>
            <w:shd w:val="clear" w:color="auto" w:fill="FFFFFF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ΑΝΑΦΟΡΙΚΕΣ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τις αναφορικές αντωνυμίες: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ὅς, ἥ, ὅ, ὅσπερ, ἥπερ, ὅπερ,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ὅστις, ἥτις, ὅτι,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ὁπότερος, ὁποτέρα, ὁπότερον,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ὅσος, ὅση, ὅσον,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οἷος, οἷα, οἷον,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ὁποῖος, ὁποῖα, ὁποῖον,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ἡλίκος, ἡλίκη, ἡλίκον,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ὁπηλίκος, ὁπηλίκη, ὁπηλίκον,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ὁποδαπός, ὁποδαπή, ὁποδαπόν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 υποκείμενο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κατ/μενο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αντικείμενο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4. παράθεση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5. επεξήγηση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6. επιθετικός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προσδιορισμός</w:t>
            </w:r>
          </w:p>
        </w:tc>
        <w:tc>
          <w:tcPr>
            <w:tcW w:w="0" w:type="auto"/>
            <w:shd w:val="clear" w:color="auto" w:fill="FFFFFF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1. 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Ὅστις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ἑαυτὸν φιλεῖ 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μετ’ ἐμοῦ μαχέσθω.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2. Οὗτός ἐστιν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ἀπέκτεινε τοὺς στρατηγούς.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3. Τιμωροῦνται καὶ κολάζονται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οὕς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ἂν οἴωνται ἀδικεῖν.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4. Ἦν δέ τις,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ὅς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Φαρναβάζῳ ἐτύγχανε.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5. Οἷμαι ἂν ἡμᾶς παθεῖν τοιαῦτα,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οἷα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τοὺς ἐχθρούς οἱ θεοί ποιήσειαν.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br/>
              <w:t>6. Ἔτυχεν ἡ πρύμνα ἐστεμμένη τοῦ πλοίου,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εἰς Δῆλον Ἀθηναῖοι πέμπουσιν.</w:t>
            </w:r>
          </w:p>
        </w:tc>
      </w:tr>
    </w:tbl>
    <w:p w:rsidR="00B2610C" w:rsidRDefault="0093364B" w:rsidP="0093364B">
      <w:pPr>
        <w:spacing w:after="0" w:line="216" w:lineRule="atLeast"/>
        <w:ind w:left="42" w:right="42" w:firstLine="133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23A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2610C" w:rsidRDefault="00B2610C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3364B" w:rsidRPr="00923A23" w:rsidRDefault="0093364B" w:rsidP="00B261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923A2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pPr w:leftFromText="180" w:rightFromText="180" w:horzAnchor="margin" w:tblpY="508"/>
        <w:tblW w:w="84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2941"/>
        <w:gridCol w:w="3630"/>
      </w:tblGrid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ΕΙΔΟΣ</w:t>
            </w:r>
          </w:p>
        </w:tc>
        <w:tc>
          <w:tcPr>
            <w:tcW w:w="0" w:type="auto"/>
            <w:gridSpan w:val="2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ΕΙΣΑΓΟΝΤΑΙ</w:t>
            </w:r>
          </w:p>
        </w:tc>
      </w:tr>
      <w:tr w:rsidR="0093364B" w:rsidRPr="00923A23" w:rsidTr="00B2610C">
        <w:tc>
          <w:tcPr>
            <w:tcW w:w="0" w:type="auto"/>
            <w:vMerge w:val="restart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Αιτιολογικές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αιτιολογικούς συνδέσμους: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C816BF" w:rsidP="00C816BF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ὡς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r w:rsidR="0093364B"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ὅτι, διότι, , ἐπεί, ἐπειδή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εἰ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364B" w:rsidRPr="00923A23" w:rsidTr="00B2610C">
        <w:tc>
          <w:tcPr>
            <w:tcW w:w="0" w:type="auto"/>
            <w:vMerge/>
            <w:vAlign w:val="center"/>
            <w:hideMark/>
          </w:tcPr>
          <w:p w:rsidR="0093364B" w:rsidRPr="00923A23" w:rsidRDefault="0093364B" w:rsidP="00B261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C816BF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Τελικές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τελικούς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ἵνα, ὅπως, ὡς</w:t>
            </w:r>
          </w:p>
        </w:tc>
      </w:tr>
      <w:tr w:rsidR="0093364B" w:rsidRPr="00923A23" w:rsidTr="00B2610C">
        <w:tc>
          <w:tcPr>
            <w:tcW w:w="0" w:type="auto"/>
            <w:vMerge w:val="restart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Χρονικές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χρονικούς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ὡς, όταν, ὅτε, ὁπότε, ἐπεί, ἐπειδή, ἔως, ἔστε</w:t>
            </w: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 (μέχρι),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ἡνίκα, πρίν</w:t>
            </w:r>
          </w:p>
        </w:tc>
      </w:tr>
      <w:tr w:rsidR="0093364B" w:rsidRPr="00923A23" w:rsidTr="00B2610C">
        <w:tc>
          <w:tcPr>
            <w:tcW w:w="0" w:type="auto"/>
            <w:vMerge/>
            <w:vAlign w:val="center"/>
            <w:hideMark/>
          </w:tcPr>
          <w:p w:rsidR="0093364B" w:rsidRPr="00923A23" w:rsidRDefault="0093364B" w:rsidP="00B261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τα χρονικά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επιρρήματα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ὁσάκις, ὁποσάκις</w:t>
            </w:r>
          </w:p>
        </w:tc>
      </w:tr>
      <w:tr w:rsidR="0093364B" w:rsidRPr="00923A23" w:rsidTr="00B2610C">
        <w:tc>
          <w:tcPr>
            <w:tcW w:w="0" w:type="auto"/>
            <w:vMerge/>
            <w:vAlign w:val="center"/>
            <w:hideMark/>
          </w:tcPr>
          <w:p w:rsidR="0093364B" w:rsidRPr="00923A23" w:rsidRDefault="0093364B" w:rsidP="00B261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τις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αναφορικές εκφράσεις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ἐξ’ οὗ, ἐξ’ ὅτου, ἀφ’, ἀφ΄ ὁτου, ἐν ὧ, μέχρι οὗ, ἂχρι οὗ, ἓως οὗ</w:t>
            </w:r>
          </w:p>
        </w:tc>
      </w:tr>
      <w:tr w:rsidR="0093364B" w:rsidRPr="00923A23" w:rsidTr="00B2610C">
        <w:tc>
          <w:tcPr>
            <w:tcW w:w="0" w:type="auto"/>
            <w:vMerge/>
            <w:vAlign w:val="center"/>
            <w:hideMark/>
          </w:tcPr>
          <w:p w:rsidR="0093364B" w:rsidRPr="00923A23" w:rsidRDefault="0093364B" w:rsidP="00B261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τις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φράσεις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ἐπεί πρῶτον, ἐπεί τάχιστα, ἐπειδή τάχιστα, ὡς τάχιστα, οὐ πρότερον ... πρίν, οὐ πρόσθεν ... πρίν</w:t>
            </w:r>
          </w:p>
        </w:tc>
      </w:tr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Αποτελεσματικές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συμπερασματικούς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ὥστε, ὡς</w:t>
            </w:r>
          </w:p>
        </w:tc>
      </w:tr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Υποθετικές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υποθετικούς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εἰ, ἐάν, ἄν, ἤν</w:t>
            </w:r>
          </w:p>
        </w:tc>
      </w:tr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Εναντιωματικές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εναντιωματικούς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εἰ καί, ἐάν καί, ἄν καί, ἤν καί</w:t>
            </w:r>
          </w:p>
        </w:tc>
      </w:tr>
      <w:tr w:rsidR="0093364B" w:rsidRPr="00923A23" w:rsidTr="00B2610C">
        <w:tc>
          <w:tcPr>
            <w:tcW w:w="0" w:type="auto"/>
            <w:tcMar>
              <w:top w:w="67" w:type="dxa"/>
              <w:left w:w="133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Παραχωρητικές</w:t>
            </w:r>
          </w:p>
        </w:tc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sz w:val="24"/>
                <w:szCs w:val="24"/>
              </w:rPr>
              <w:t>Με τους </w:t>
            </w: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παραχωρητικούς συνδέσμους</w:t>
            </w:r>
          </w:p>
        </w:tc>
        <w:tc>
          <w:tcPr>
            <w:tcW w:w="0" w:type="auto"/>
            <w:tcMar>
              <w:top w:w="67" w:type="dxa"/>
              <w:bottom w:w="67" w:type="dxa"/>
              <w:right w:w="67" w:type="dxa"/>
            </w:tcMar>
            <w:hideMark/>
          </w:tcPr>
          <w:p w:rsidR="0093364B" w:rsidRPr="00923A23" w:rsidRDefault="0093364B" w:rsidP="00B2610C">
            <w:pPr>
              <w:spacing w:after="0" w:line="216" w:lineRule="atLeas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3A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καί εἰ, καί ἐάν, καί ἄν, καί ἤν</w:t>
            </w:r>
          </w:p>
        </w:tc>
      </w:tr>
    </w:tbl>
    <w:p w:rsidR="00321053" w:rsidRDefault="00321053"/>
    <w:p w:rsidR="00B2610C" w:rsidRDefault="00B2610C"/>
    <w:p w:rsidR="00C829CB" w:rsidRPr="00C829CB" w:rsidRDefault="00C829CB">
      <w:pPr>
        <w:rPr>
          <w:u w:val="single"/>
        </w:rPr>
      </w:pPr>
      <w:r w:rsidRPr="00C829CB">
        <w:rPr>
          <w:u w:val="single"/>
        </w:rPr>
        <w:t>Παρατηρήσεις</w:t>
      </w:r>
    </w:p>
    <w:p w:rsidR="00B2610C" w:rsidRDefault="00B2610C" w:rsidP="001A47D2">
      <w:pPr>
        <w:pStyle w:val="a5"/>
        <w:numPr>
          <w:ilvl w:val="0"/>
          <w:numId w:val="1"/>
        </w:numPr>
      </w:pPr>
      <w:r>
        <w:t xml:space="preserve">Όταν μία δευτερεύουσα αναφορική ή χρονική πρόταση έχει μέσα το αοριστολογικό </w:t>
      </w:r>
      <w:r w:rsidRPr="001A47D2">
        <w:rPr>
          <w:b/>
        </w:rPr>
        <w:t xml:space="preserve">ἂν </w:t>
      </w:r>
      <w:r w:rsidRPr="00B2610C">
        <w:t xml:space="preserve">και </w:t>
      </w:r>
      <w:r>
        <w:t xml:space="preserve">υποτακτική, η δευτερεύουσα λέγεται αναφορικοϋποθετική και χρονικοϋποθετική αντίστοιχα. Το  ἂν προσδίδει έννοια υπόθεσης και μεταφράζεται «τυχόν/ίσως». Όταν η χρονική πρόταση εισάγεται με τα </w:t>
      </w:r>
      <w:r w:rsidRPr="001A47D2">
        <w:rPr>
          <w:u w:val="single"/>
        </w:rPr>
        <w:t>ἐπεί/ἐπειδή</w:t>
      </w:r>
      <w:r>
        <w:t xml:space="preserve"> συνδέονται με το </w:t>
      </w:r>
      <w:r w:rsidRPr="001A47D2">
        <w:rPr>
          <w:u w:val="single"/>
        </w:rPr>
        <w:t>ἂν</w:t>
      </w:r>
      <w:r>
        <w:t xml:space="preserve"> και οι σύνδεσμοι γίνοται </w:t>
      </w:r>
      <w:r w:rsidRPr="001A47D2">
        <w:rPr>
          <w:u w:val="single"/>
        </w:rPr>
        <w:t>ἐπάν/ἐπειδάν</w:t>
      </w:r>
      <w:r>
        <w:t>.</w:t>
      </w:r>
    </w:p>
    <w:p w:rsidR="00B2610C" w:rsidRDefault="001A47D2" w:rsidP="001A47D2">
      <w:pPr>
        <w:pStyle w:val="a5"/>
        <w:numPr>
          <w:ilvl w:val="0"/>
          <w:numId w:val="1"/>
        </w:numPr>
      </w:pPr>
      <w:r>
        <w:t xml:space="preserve">Όταν μία </w:t>
      </w:r>
      <w:r w:rsidRPr="00C829CB">
        <w:rPr>
          <w:u w:val="single"/>
        </w:rPr>
        <w:t>δευτερεύουσα χρονική ή μία συμπερασματική</w:t>
      </w:r>
      <w:r>
        <w:t xml:space="preserve"> εισάγονται με τους συνδέσμους </w:t>
      </w:r>
      <w:r w:rsidRPr="00C829CB">
        <w:rPr>
          <w:u w:val="single"/>
        </w:rPr>
        <w:t xml:space="preserve">πρίν </w:t>
      </w:r>
      <w:r w:rsidR="00B2610C" w:rsidRPr="00C829CB">
        <w:rPr>
          <w:u w:val="single"/>
        </w:rPr>
        <w:t xml:space="preserve"> </w:t>
      </w:r>
      <w:r w:rsidRPr="00C829CB">
        <w:rPr>
          <w:u w:val="single"/>
        </w:rPr>
        <w:t xml:space="preserve">ή </w:t>
      </w:r>
      <w:r w:rsidRPr="00C829CB">
        <w:rPr>
          <w:rFonts w:ascii="Calibri" w:eastAsia="Times New Roman" w:hAnsi="Calibri" w:cs="Calibri"/>
          <w:bCs/>
          <w:u w:val="single"/>
        </w:rPr>
        <w:t>ὥστε</w:t>
      </w:r>
      <w:r>
        <w:rPr>
          <w:rFonts w:ascii="Calibri" w:eastAsia="Times New Roman" w:hAnsi="Calibri" w:cs="Calibri"/>
          <w:bCs/>
        </w:rPr>
        <w:t xml:space="preserve"> αντίστοιχα, μπορεί η πρόταση αντί για ρήμα να έχει απαρέμφατο (το οποίο ισοδυναμεί με ρήμα, αλλά συντάσσεται ως απαρέμφατο). Τότε η πρόταση ονομάζεται πια </w:t>
      </w:r>
      <w:r>
        <w:t>χρονική απαρεμφατική ή συμπερασματική απαρεμφατική.</w:t>
      </w:r>
    </w:p>
    <w:p w:rsidR="001A47D2" w:rsidRDefault="001A47D2" w:rsidP="001A47D2">
      <w:pPr>
        <w:pStyle w:val="a5"/>
        <w:numPr>
          <w:ilvl w:val="0"/>
          <w:numId w:val="1"/>
        </w:numPr>
      </w:pPr>
      <w:r>
        <w:lastRenderedPageBreak/>
        <w:t xml:space="preserve">Με το </w:t>
      </w:r>
      <w:r w:rsidRPr="00C816BF">
        <w:rPr>
          <w:u w:val="single"/>
        </w:rPr>
        <w:t xml:space="preserve">ὥστε </w:t>
      </w:r>
      <w:r>
        <w:t xml:space="preserve">στην αρχή περιόδου ή ημιπεριόδου ξεκινάει </w:t>
      </w:r>
      <w:r w:rsidRPr="00C816BF">
        <w:rPr>
          <w:u w:val="single"/>
        </w:rPr>
        <w:t xml:space="preserve">κύρια πρόταση </w:t>
      </w:r>
      <w:r>
        <w:t>και όχι δευτερεύουσα. Σε αυτήν την περίπτωση το ὥστε μεταφράζεται «επομένως».</w:t>
      </w:r>
    </w:p>
    <w:p w:rsidR="001A47D2" w:rsidRDefault="001A47D2" w:rsidP="001A47D2">
      <w:pPr>
        <w:pStyle w:val="a5"/>
        <w:numPr>
          <w:ilvl w:val="0"/>
          <w:numId w:val="1"/>
        </w:numPr>
      </w:pPr>
      <w:r>
        <w:t xml:space="preserve">Η αναφορική αντωνυμία </w:t>
      </w:r>
      <w:r w:rsidRPr="00C816BF">
        <w:rPr>
          <w:u w:val="single"/>
        </w:rPr>
        <w:t>ὅς, ἥ, ὅ</w:t>
      </w:r>
      <w:r>
        <w:t xml:space="preserve"> , όταν βρίσκεται στην αρχή περιόδου ή ημιπεριόδου (και εφόσον δεν υπάρχει άλλη κύρια πρόταση στην περίοδο), δεν εισάγει δευτερεύουσα, αλλά η πρόταση είναι κύρια. Οι αντωνυμίες δε μεταφράζονται ως αναφορικές πια, αλλά ως δεικτικές.</w:t>
      </w:r>
    </w:p>
    <w:p w:rsidR="0011600C" w:rsidRDefault="0011600C" w:rsidP="0011600C"/>
    <w:p w:rsidR="0011600C" w:rsidRDefault="0011600C" w:rsidP="0011600C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Νατάσα Δανιήλ</w:t>
      </w:r>
    </w:p>
    <w:p w:rsidR="0011600C" w:rsidRDefault="0011600C" w:rsidP="001160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φιλόλογος</w:t>
      </w:r>
    </w:p>
    <w:sectPr w:rsidR="0011600C" w:rsidSect="0050636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88" w:rsidRDefault="002E2088" w:rsidP="00923A23">
      <w:pPr>
        <w:spacing w:after="0" w:line="240" w:lineRule="auto"/>
      </w:pPr>
      <w:r>
        <w:separator/>
      </w:r>
    </w:p>
  </w:endnote>
  <w:endnote w:type="continuationSeparator" w:id="1">
    <w:p w:rsidR="002E2088" w:rsidRDefault="002E2088" w:rsidP="0092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1643"/>
      <w:docPartObj>
        <w:docPartGallery w:val="Page Numbers (Bottom of Page)"/>
        <w:docPartUnique/>
      </w:docPartObj>
    </w:sdtPr>
    <w:sdtContent>
      <w:p w:rsidR="0011600C" w:rsidRDefault="0011600C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1600C" w:rsidRDefault="001160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88" w:rsidRDefault="002E2088" w:rsidP="00923A23">
      <w:pPr>
        <w:spacing w:after="0" w:line="240" w:lineRule="auto"/>
      </w:pPr>
      <w:r>
        <w:separator/>
      </w:r>
    </w:p>
  </w:footnote>
  <w:footnote w:type="continuationSeparator" w:id="1">
    <w:p w:rsidR="002E2088" w:rsidRDefault="002E2088" w:rsidP="0092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23" w:rsidRDefault="00923A23">
    <w:pPr>
      <w:pStyle w:val="a3"/>
    </w:pPr>
  </w:p>
  <w:p w:rsidR="00923A23" w:rsidRDefault="00923A23">
    <w:pPr>
      <w:pStyle w:val="a3"/>
    </w:pPr>
  </w:p>
  <w:p w:rsidR="00923A23" w:rsidRDefault="00923A23">
    <w:pPr>
      <w:pStyle w:val="a3"/>
    </w:pPr>
    <w:r>
      <w:t>ΔΕΥΤΕΡΕΥΟΥΣΕΣ ΠΡΟΤΑΣΕΙΣ</w:t>
    </w:r>
  </w:p>
  <w:p w:rsidR="00B2610C" w:rsidRDefault="00B2610C">
    <w:pPr>
      <w:pStyle w:val="a3"/>
    </w:pPr>
  </w:p>
  <w:p w:rsidR="00B2610C" w:rsidRDefault="00B2610C">
    <w:pPr>
      <w:pStyle w:val="a3"/>
    </w:pPr>
  </w:p>
  <w:p w:rsidR="00B2610C" w:rsidRDefault="00B2610C">
    <w:pPr>
      <w:pStyle w:val="a3"/>
    </w:pPr>
  </w:p>
  <w:p w:rsidR="00B2610C" w:rsidRDefault="00B2610C">
    <w:pPr>
      <w:pStyle w:val="a3"/>
    </w:pPr>
  </w:p>
  <w:p w:rsidR="00B2610C" w:rsidRPr="00923A23" w:rsidRDefault="00B261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46711"/>
    <w:multiLevelType w:val="hybridMultilevel"/>
    <w:tmpl w:val="8B04B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64B"/>
    <w:rsid w:val="000F3CDE"/>
    <w:rsid w:val="0011600C"/>
    <w:rsid w:val="001A47D2"/>
    <w:rsid w:val="00213746"/>
    <w:rsid w:val="002E2088"/>
    <w:rsid w:val="00321053"/>
    <w:rsid w:val="00340594"/>
    <w:rsid w:val="00506369"/>
    <w:rsid w:val="00691AF1"/>
    <w:rsid w:val="00923A23"/>
    <w:rsid w:val="0093364B"/>
    <w:rsid w:val="00B2610C"/>
    <w:rsid w:val="00C06DBF"/>
    <w:rsid w:val="00C816BF"/>
    <w:rsid w:val="00C829CB"/>
    <w:rsid w:val="00D251D5"/>
    <w:rsid w:val="00F0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93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23A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23A23"/>
  </w:style>
  <w:style w:type="paragraph" w:styleId="a4">
    <w:name w:val="footer"/>
    <w:basedOn w:val="a"/>
    <w:link w:val="Char0"/>
    <w:uiPriority w:val="99"/>
    <w:unhideWhenUsed/>
    <w:rsid w:val="00923A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23A23"/>
  </w:style>
  <w:style w:type="paragraph" w:styleId="a5">
    <w:name w:val="List Paragraph"/>
    <w:basedOn w:val="a"/>
    <w:uiPriority w:val="34"/>
    <w:qFormat/>
    <w:rsid w:val="001A47D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9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91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4801"/>
    <w:rsid w:val="00035970"/>
    <w:rsid w:val="00B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359180849E4D7CBA579CBA35062128">
    <w:name w:val="AA359180849E4D7CBA579CBA35062128"/>
    <w:rsid w:val="00BB48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2021-02-28T15:58:00Z</dcterms:created>
  <dcterms:modified xsi:type="dcterms:W3CDTF">2021-03-21T11:17:00Z</dcterms:modified>
</cp:coreProperties>
</file>